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AE985" w14:textId="653B1825" w:rsidR="008349B7" w:rsidRPr="008349B7" w:rsidRDefault="008349B7" w:rsidP="00B42A20">
      <w:pPr>
        <w:jc w:val="center"/>
      </w:pPr>
      <w:r w:rsidRPr="008349B7">
        <w:rPr>
          <w:b/>
          <w:bCs/>
        </w:rPr>
        <w:t>TEMİZ EKRAN VE TEMİZ MASA POLİTİKASI</w:t>
      </w:r>
    </w:p>
    <w:p w14:paraId="2A1D988A" w14:textId="77777777" w:rsidR="008349B7" w:rsidRPr="008349B7" w:rsidRDefault="008349B7" w:rsidP="008349B7">
      <w:pPr>
        <w:rPr>
          <w:b/>
          <w:bCs/>
        </w:rPr>
      </w:pPr>
      <w:r w:rsidRPr="008349B7">
        <w:rPr>
          <w:b/>
          <w:bCs/>
        </w:rPr>
        <w:t>1. Amaç</w:t>
      </w:r>
    </w:p>
    <w:p w14:paraId="4C71BE79" w14:textId="77777777" w:rsidR="008349B7" w:rsidRPr="008349B7" w:rsidRDefault="008349B7" w:rsidP="008349B7">
      <w:r w:rsidRPr="008349B7">
        <w:t>6698 sayılı Kişisel Verilerin Korunması Kanunu (“</w:t>
      </w:r>
      <w:r w:rsidRPr="008349B7">
        <w:rPr>
          <w:b/>
          <w:bCs/>
        </w:rPr>
        <w:t>KVKK</w:t>
      </w:r>
      <w:r w:rsidRPr="008349B7">
        <w:t>”) ve ilgili ikincil düzenlemeler ile ISO/IEC 27001 Bilgi Güvenliği Yönetim Sistemi Standardı kapsamında; kişisel verilerin, gizli bilgilerin ve kurumsal dokümanların yetkisiz erişimlerden korunması, bilgi güvenliğinin sürekliliğinin sağlanması ve olası fiziksel ya da siber risklerin önlenmesi amacıyla bu politika hazırlanmıştır.</w:t>
      </w:r>
    </w:p>
    <w:p w14:paraId="42A507B7" w14:textId="77777777" w:rsidR="008349B7" w:rsidRPr="008349B7" w:rsidRDefault="008349B7" w:rsidP="008349B7">
      <w:r w:rsidRPr="008349B7">
        <w:t xml:space="preserve">Belediyemizde </w:t>
      </w:r>
      <w:r w:rsidRPr="002E6BE2">
        <w:t>çalışan tüm personelin görev ve sorumlulukları çerçevesinde, masalarda veya ekranlarda açık bırakılan verilerin; yetkisiz erişimler, kötüye kullanım, yangın, deprem, sel gibi afetler veya teknik arızalar nedeniyle ifşa olması ya da bütünlüğünün bozulması riskine karşı korunması hedeflenmektedir.</w:t>
      </w:r>
    </w:p>
    <w:p w14:paraId="5025D690" w14:textId="77777777" w:rsidR="008349B7" w:rsidRPr="008349B7" w:rsidRDefault="008349B7" w:rsidP="008349B7">
      <w:r w:rsidRPr="008349B7">
        <w:t>Bu politika; tam zamanlı, yarı zamanlı, sözleşmeli, taşeron firma çalışanları ve stajyerler dâhil olmak üzere, T.C. Erzincan Belediyesi bünyesinde görev yapan tüm personel için bağlayıcıdır.</w:t>
      </w:r>
    </w:p>
    <w:p w14:paraId="56A53F68" w14:textId="6D2B5B8D" w:rsidR="008349B7" w:rsidRPr="008349B7" w:rsidRDefault="008349B7" w:rsidP="008349B7"/>
    <w:p w14:paraId="1C7E649B" w14:textId="77777777" w:rsidR="008349B7" w:rsidRPr="008349B7" w:rsidRDefault="008349B7" w:rsidP="008349B7">
      <w:pPr>
        <w:rPr>
          <w:b/>
          <w:bCs/>
        </w:rPr>
      </w:pPr>
      <w:r w:rsidRPr="008349B7">
        <w:rPr>
          <w:b/>
          <w:bCs/>
        </w:rPr>
        <w:t>2. Uygulama Esasları</w:t>
      </w:r>
    </w:p>
    <w:p w14:paraId="37E65065" w14:textId="77777777" w:rsidR="008349B7" w:rsidRPr="008349B7" w:rsidRDefault="008349B7" w:rsidP="008349B7">
      <w:pPr>
        <w:rPr>
          <w:b/>
          <w:bCs/>
        </w:rPr>
      </w:pPr>
      <w:r w:rsidRPr="008349B7">
        <w:rPr>
          <w:b/>
          <w:bCs/>
        </w:rPr>
        <w:t>2.1 Fiziksel Dokümanların Güvenliği</w:t>
      </w:r>
    </w:p>
    <w:p w14:paraId="19A7147A" w14:textId="77777777" w:rsidR="008349B7" w:rsidRPr="002E6BE2" w:rsidRDefault="008349B7" w:rsidP="008349B7">
      <w:pPr>
        <w:numPr>
          <w:ilvl w:val="0"/>
          <w:numId w:val="1"/>
        </w:numPr>
      </w:pPr>
      <w:r w:rsidRPr="002E6BE2">
        <w:t>Kişisel veri, gizli bilgi veya kurumsal evrak masa üzerinde açıkta bırakılmamalıdır.</w:t>
      </w:r>
    </w:p>
    <w:p w14:paraId="39C9415F" w14:textId="77777777" w:rsidR="008349B7" w:rsidRPr="002E6BE2" w:rsidRDefault="008349B7" w:rsidP="008349B7">
      <w:pPr>
        <w:numPr>
          <w:ilvl w:val="0"/>
          <w:numId w:val="1"/>
        </w:numPr>
      </w:pPr>
      <w:r w:rsidRPr="002E6BE2">
        <w:t>Mesai bitiminde veya uzun süreli masa başı ayrılmalarda, tüm belgeler kilitli dolap veya çekmecelerde muhafaza edilmelidir.</w:t>
      </w:r>
    </w:p>
    <w:p w14:paraId="78DDA410" w14:textId="77777777" w:rsidR="008349B7" w:rsidRPr="002E6BE2" w:rsidRDefault="008349B7" w:rsidP="008349B7">
      <w:pPr>
        <w:numPr>
          <w:ilvl w:val="0"/>
          <w:numId w:val="1"/>
        </w:numPr>
      </w:pPr>
      <w:r w:rsidRPr="002E6BE2">
        <w:t>Gizlilik dereceli dokümanlar, işlevi sona erdiğinde kâğıt öğütücü, disk/disket kıyıcı gibi yöntemlerle imha edilmelidir.</w:t>
      </w:r>
    </w:p>
    <w:p w14:paraId="69EBEFBF" w14:textId="77777777" w:rsidR="008349B7" w:rsidRPr="002E6BE2" w:rsidRDefault="008349B7" w:rsidP="008349B7">
      <w:pPr>
        <w:numPr>
          <w:ilvl w:val="0"/>
          <w:numId w:val="1"/>
        </w:numPr>
      </w:pPr>
      <w:r w:rsidRPr="002E6BE2">
        <w:t>Çalışma ortamlarındaki yazı tahtaları ve pano içerikleri, kullanımdan sonra silinmeli, gizli bilgi barındıran notlar açıkta bırakılmamalıdır.</w:t>
      </w:r>
    </w:p>
    <w:p w14:paraId="1B596EFF" w14:textId="77777777" w:rsidR="008349B7" w:rsidRPr="002E6BE2" w:rsidRDefault="008349B7" w:rsidP="008349B7">
      <w:pPr>
        <w:numPr>
          <w:ilvl w:val="0"/>
          <w:numId w:val="1"/>
        </w:numPr>
      </w:pPr>
      <w:r w:rsidRPr="002E6BE2">
        <w:t>Gelen ve giden evrak, faks ve çıktılar başıboş bırakılmamalı, yalnızca yetkilendirilmiş personelin erişimine sunulmalıdır.</w:t>
      </w:r>
    </w:p>
    <w:p w14:paraId="5103E2BC" w14:textId="01AA6BCA" w:rsidR="008349B7" w:rsidRPr="008349B7" w:rsidRDefault="008349B7" w:rsidP="008349B7"/>
    <w:p w14:paraId="1D1E25AF" w14:textId="77777777" w:rsidR="008349B7" w:rsidRPr="008349B7" w:rsidRDefault="008349B7" w:rsidP="008349B7">
      <w:pPr>
        <w:rPr>
          <w:b/>
          <w:bCs/>
        </w:rPr>
      </w:pPr>
      <w:r w:rsidRPr="008349B7">
        <w:rPr>
          <w:b/>
          <w:bCs/>
        </w:rPr>
        <w:t>2.2 Bilgisayar, Ekran ve Elektronik Cihazların Güvenliği</w:t>
      </w:r>
    </w:p>
    <w:p w14:paraId="289866D1" w14:textId="77777777" w:rsidR="008349B7" w:rsidRPr="002E6BE2" w:rsidRDefault="008349B7" w:rsidP="008349B7">
      <w:pPr>
        <w:numPr>
          <w:ilvl w:val="0"/>
          <w:numId w:val="2"/>
        </w:numPr>
      </w:pPr>
      <w:r w:rsidRPr="008349B7">
        <w:t>Tüm bilgisa</w:t>
      </w:r>
      <w:r w:rsidRPr="002E6BE2">
        <w:t>yarlar, dizüstü cihazlar ve mobil cihazlarda parola korumalı oturum açma kullanılmalıdır.</w:t>
      </w:r>
    </w:p>
    <w:p w14:paraId="79AD3B43" w14:textId="77777777" w:rsidR="008349B7" w:rsidRPr="002E6BE2" w:rsidRDefault="008349B7" w:rsidP="008349B7">
      <w:pPr>
        <w:numPr>
          <w:ilvl w:val="0"/>
          <w:numId w:val="2"/>
        </w:numPr>
      </w:pPr>
      <w:r w:rsidRPr="002E6BE2">
        <w:t>Personel bilgisayar başından ayrıldığında cihazını kilitlemeli; bilgisayarlar en fazla 5 dakika hareketsizlikten sonra otomatik olarak kilitlenmelidir.</w:t>
      </w:r>
    </w:p>
    <w:p w14:paraId="05C7634B" w14:textId="77777777" w:rsidR="008349B7" w:rsidRPr="002E6BE2" w:rsidRDefault="008349B7" w:rsidP="008349B7">
      <w:pPr>
        <w:numPr>
          <w:ilvl w:val="0"/>
          <w:numId w:val="2"/>
        </w:numPr>
      </w:pPr>
      <w:r w:rsidRPr="002E6BE2">
        <w:t>Çalışma saatleri dışında bilgisayarlar kapatılmalı veya uyku moduna alınmalı, yetkisiz erişime kapalı tutulmalıdır.</w:t>
      </w:r>
    </w:p>
    <w:p w14:paraId="4D38E1BA" w14:textId="77777777" w:rsidR="008349B7" w:rsidRPr="002E6BE2" w:rsidRDefault="008349B7" w:rsidP="008349B7">
      <w:pPr>
        <w:numPr>
          <w:ilvl w:val="0"/>
          <w:numId w:val="2"/>
        </w:numPr>
      </w:pPr>
      <w:r w:rsidRPr="002E6BE2">
        <w:t>Bilgisayar ekranları ve klavyeler, yalnızca kullanıcının görebileceği şekilde konumlandırılmalıdır.</w:t>
      </w:r>
    </w:p>
    <w:p w14:paraId="1A38803A" w14:textId="77777777" w:rsidR="008349B7" w:rsidRPr="002E6BE2" w:rsidRDefault="008349B7" w:rsidP="008349B7">
      <w:pPr>
        <w:numPr>
          <w:ilvl w:val="0"/>
          <w:numId w:val="2"/>
        </w:numPr>
      </w:pPr>
      <w:r w:rsidRPr="008349B7">
        <w:t xml:space="preserve">Şifreler; kâğıt, ajanda, post-it gibi ortamlara yazılmamalı ve ekran kenarlarında </w:t>
      </w:r>
      <w:r w:rsidRPr="002E6BE2">
        <w:t>bulundurulmamalıdır.</w:t>
      </w:r>
    </w:p>
    <w:p w14:paraId="049BFAE1" w14:textId="77777777" w:rsidR="008349B7" w:rsidRPr="008349B7" w:rsidRDefault="008349B7" w:rsidP="008349B7">
      <w:pPr>
        <w:numPr>
          <w:ilvl w:val="0"/>
          <w:numId w:val="2"/>
        </w:numPr>
      </w:pPr>
      <w:r w:rsidRPr="002E6BE2">
        <w:lastRenderedPageBreak/>
        <w:t>Yazıcıya gönderilen çıktı, derhâl alınmalı; hassas bilgi içeren belgeler için parola korumalı yazdırma özelliği kullanılmalıdır</w:t>
      </w:r>
      <w:r w:rsidRPr="008349B7">
        <w:t>.</w:t>
      </w:r>
    </w:p>
    <w:p w14:paraId="6EF439FD" w14:textId="5A11F5F8" w:rsidR="008349B7" w:rsidRPr="008349B7" w:rsidRDefault="008349B7" w:rsidP="008349B7"/>
    <w:p w14:paraId="2A619E37" w14:textId="77777777" w:rsidR="008349B7" w:rsidRPr="008349B7" w:rsidRDefault="008349B7" w:rsidP="008349B7">
      <w:pPr>
        <w:rPr>
          <w:b/>
          <w:bCs/>
        </w:rPr>
      </w:pPr>
      <w:r w:rsidRPr="008349B7">
        <w:rPr>
          <w:b/>
          <w:bCs/>
        </w:rPr>
        <w:t>2.3 Taşınabilir Medya ve Mobil Cihazlar</w:t>
      </w:r>
    </w:p>
    <w:p w14:paraId="7DFF6ED5" w14:textId="77777777" w:rsidR="008349B7" w:rsidRPr="002E6BE2" w:rsidRDefault="008349B7" w:rsidP="008349B7">
      <w:pPr>
        <w:numPr>
          <w:ilvl w:val="0"/>
          <w:numId w:val="3"/>
        </w:numPr>
      </w:pPr>
      <w:r w:rsidRPr="008349B7">
        <w:t>USB, harici disk</w:t>
      </w:r>
      <w:r w:rsidRPr="002E6BE2">
        <w:t>, CD/DVD ve diğer taşınabilir medya araçları izin verilen durumlar dışında kullanılmamalıdır.</w:t>
      </w:r>
    </w:p>
    <w:p w14:paraId="4B4BCCD3" w14:textId="77777777" w:rsidR="008349B7" w:rsidRPr="002E6BE2" w:rsidRDefault="008349B7" w:rsidP="008349B7">
      <w:pPr>
        <w:numPr>
          <w:ilvl w:val="0"/>
          <w:numId w:val="3"/>
        </w:numPr>
      </w:pPr>
      <w:r w:rsidRPr="002E6BE2">
        <w:t>Kullanım sonrası tüm taşınabilir cihazlar kilitli dolaplarda saklanmalıdır.</w:t>
      </w:r>
    </w:p>
    <w:p w14:paraId="35FDA6C6" w14:textId="77777777" w:rsidR="008349B7" w:rsidRPr="002E6BE2" w:rsidRDefault="008349B7" w:rsidP="008349B7">
      <w:pPr>
        <w:numPr>
          <w:ilvl w:val="0"/>
          <w:numId w:val="3"/>
        </w:numPr>
      </w:pPr>
      <w:r w:rsidRPr="002E6BE2">
        <w:t>Mobil cihazlar ve tabletler, yalnızca görevli personel tarafından kullanılmalı; kaybolma ve çalınma risklerine karşı gerekli tedbirler alınmalıdır.</w:t>
      </w:r>
    </w:p>
    <w:p w14:paraId="5EF3D7E3" w14:textId="42428A99" w:rsidR="008349B7" w:rsidRPr="008349B7" w:rsidRDefault="008349B7" w:rsidP="008349B7"/>
    <w:p w14:paraId="4BAE1720" w14:textId="77777777" w:rsidR="008349B7" w:rsidRPr="008349B7" w:rsidRDefault="008349B7" w:rsidP="008349B7">
      <w:pPr>
        <w:rPr>
          <w:b/>
          <w:bCs/>
        </w:rPr>
      </w:pPr>
      <w:r w:rsidRPr="008349B7">
        <w:rPr>
          <w:b/>
          <w:bCs/>
        </w:rPr>
        <w:t>2.4 Çalışanların Sorumlulukları</w:t>
      </w:r>
    </w:p>
    <w:p w14:paraId="70BA0389" w14:textId="77777777" w:rsidR="008349B7" w:rsidRPr="002B13E4" w:rsidRDefault="008349B7" w:rsidP="008349B7">
      <w:pPr>
        <w:numPr>
          <w:ilvl w:val="0"/>
          <w:numId w:val="4"/>
        </w:numPr>
      </w:pPr>
      <w:r w:rsidRPr="008349B7">
        <w:t>Personel</w:t>
      </w:r>
      <w:r w:rsidRPr="002B13E4">
        <w:t>, bilgisayar ve sistem şifrelerini gizli tutmakla yükümlüdür.</w:t>
      </w:r>
    </w:p>
    <w:p w14:paraId="2B26819A" w14:textId="77777777" w:rsidR="008349B7" w:rsidRPr="002B13E4" w:rsidRDefault="008349B7" w:rsidP="008349B7">
      <w:pPr>
        <w:numPr>
          <w:ilvl w:val="0"/>
          <w:numId w:val="4"/>
        </w:numPr>
      </w:pPr>
      <w:r w:rsidRPr="002B13E4">
        <w:t>Belediyeye ait e-posta adresleri yalnızca kurumsal amaçlarla kullanılabilir; özel yazışmalar için kullanılması yasaktır.</w:t>
      </w:r>
    </w:p>
    <w:p w14:paraId="7F46BAE5" w14:textId="77777777" w:rsidR="008349B7" w:rsidRPr="002B13E4" w:rsidRDefault="008349B7" w:rsidP="008349B7">
      <w:pPr>
        <w:numPr>
          <w:ilvl w:val="0"/>
          <w:numId w:val="4"/>
        </w:numPr>
      </w:pPr>
      <w:r w:rsidRPr="002B13E4">
        <w:t>Belediyeye ait donanım, yazılım ve ekipman yalnızca görev kapsamında kullanılabilir; kopyalanması, paylaşılması veya amacı dışında kullanımı yasaktır.</w:t>
      </w:r>
    </w:p>
    <w:p w14:paraId="577CEE1B" w14:textId="77777777" w:rsidR="008349B7" w:rsidRPr="008349B7" w:rsidRDefault="008349B7" w:rsidP="008349B7">
      <w:pPr>
        <w:numPr>
          <w:ilvl w:val="0"/>
          <w:numId w:val="4"/>
        </w:numPr>
      </w:pPr>
      <w:r w:rsidRPr="002B13E4">
        <w:t>Tüm çalışanlar, bilgi güvenliği ve kişisel verilerin korunmasına ilişkin iç politika ve prosedürlere uymakla yükümlüdür</w:t>
      </w:r>
      <w:r w:rsidRPr="008349B7">
        <w:t>.</w:t>
      </w:r>
    </w:p>
    <w:p w14:paraId="6EC77904" w14:textId="4DBEA669" w:rsidR="008349B7" w:rsidRPr="008349B7" w:rsidRDefault="008349B7" w:rsidP="008349B7"/>
    <w:p w14:paraId="757A8E47" w14:textId="77777777" w:rsidR="008349B7" w:rsidRPr="008349B7" w:rsidRDefault="008349B7" w:rsidP="008349B7">
      <w:pPr>
        <w:rPr>
          <w:b/>
          <w:bCs/>
        </w:rPr>
      </w:pPr>
      <w:r w:rsidRPr="008349B7">
        <w:rPr>
          <w:b/>
          <w:bCs/>
        </w:rPr>
        <w:t>3. Yaptırımlar</w:t>
      </w:r>
    </w:p>
    <w:p w14:paraId="79B1357F" w14:textId="77777777" w:rsidR="008349B7" w:rsidRPr="008349B7" w:rsidRDefault="008349B7" w:rsidP="008349B7">
      <w:r w:rsidRPr="008349B7">
        <w:t>Bu politika hükümlerine aykırı davranılması hâlinde:</w:t>
      </w:r>
    </w:p>
    <w:p w14:paraId="1E5E4525" w14:textId="77777777" w:rsidR="008349B7" w:rsidRPr="002B13E4" w:rsidRDefault="008349B7" w:rsidP="008349B7">
      <w:pPr>
        <w:numPr>
          <w:ilvl w:val="0"/>
          <w:numId w:val="5"/>
        </w:numPr>
      </w:pPr>
      <w:r w:rsidRPr="008349B7">
        <w:t xml:space="preserve">Öncelikle personel </w:t>
      </w:r>
      <w:r w:rsidRPr="002B13E4">
        <w:t>hakkında uyarı veya disiplin işlemleri başlatılır.</w:t>
      </w:r>
    </w:p>
    <w:p w14:paraId="218F6799" w14:textId="77777777" w:rsidR="008349B7" w:rsidRPr="002B13E4" w:rsidRDefault="008349B7" w:rsidP="008349B7">
      <w:pPr>
        <w:numPr>
          <w:ilvl w:val="0"/>
          <w:numId w:val="5"/>
        </w:numPr>
      </w:pPr>
      <w:r w:rsidRPr="002B13E4">
        <w:t>Fiilin niteliğine göre 4857 sayılı İş Kanunu, 657 sayılı Devlet Memurları Kanunu, 5237 sayılı Türk Ceza Kanunu ve 6698 sayılı KVKK kapsamında hukuki ve cezai yaptırımlar uygulanabilir.</w:t>
      </w:r>
    </w:p>
    <w:p w14:paraId="1586132E" w14:textId="77777777" w:rsidR="008349B7" w:rsidRPr="002B13E4" w:rsidRDefault="008349B7" w:rsidP="008349B7">
      <w:pPr>
        <w:numPr>
          <w:ilvl w:val="0"/>
          <w:numId w:val="5"/>
        </w:numPr>
      </w:pPr>
      <w:r w:rsidRPr="002B13E4">
        <w:t>Kasıtlı ihlallerde, iş akdinin feshi ve hukuki mercilere bildirim dahil olmak üzere en ağır yaptırımlar devreye sokulur.</w:t>
      </w:r>
    </w:p>
    <w:p w14:paraId="539A80D6" w14:textId="12526A7F" w:rsidR="008349B7" w:rsidRPr="008349B7" w:rsidRDefault="008349B7" w:rsidP="008349B7"/>
    <w:p w14:paraId="694D6343" w14:textId="77777777" w:rsidR="008349B7" w:rsidRPr="008349B7" w:rsidRDefault="008349B7" w:rsidP="008349B7">
      <w:pPr>
        <w:rPr>
          <w:b/>
          <w:bCs/>
        </w:rPr>
      </w:pPr>
      <w:r w:rsidRPr="008349B7">
        <w:rPr>
          <w:b/>
          <w:bCs/>
        </w:rPr>
        <w:t>4. Yürürlük ve Güncelleme</w:t>
      </w:r>
    </w:p>
    <w:p w14:paraId="58E5F328" w14:textId="7F84DEB4" w:rsidR="008349B7" w:rsidRPr="008349B7" w:rsidRDefault="008349B7" w:rsidP="008349B7">
      <w:r w:rsidRPr="008349B7">
        <w:t xml:space="preserve">Bu politika, </w:t>
      </w:r>
      <w:r w:rsidRPr="002B13E4">
        <w:t>T.C. Erzincan Belediyesi Kişisel Verilerin Korunması Komitesi tarafından hazırlanmış ve yürürlüğe girmiştir</w:t>
      </w:r>
      <w:r>
        <w:t>.</w:t>
      </w:r>
    </w:p>
    <w:p w14:paraId="08AE1C01" w14:textId="77777777" w:rsidR="008349B7" w:rsidRPr="008349B7" w:rsidRDefault="008349B7" w:rsidP="008349B7">
      <w:r w:rsidRPr="008349B7">
        <w:t>Mevzuatta veya iç düzenlemelerde meydana gelebilecek değişiklikler doğrultusunda politika düzenli olarak gözden geçirilir ve güncellenir.</w:t>
      </w:r>
    </w:p>
    <w:p w14:paraId="1AFCD618" w14:textId="18B0DA81" w:rsidR="00975C38" w:rsidRDefault="00975C38"/>
    <w:sectPr w:rsidR="00975C38" w:rsidSect="00300D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12A8D" w14:textId="77777777" w:rsidR="0079423B" w:rsidRDefault="0079423B" w:rsidP="00534514">
      <w:pPr>
        <w:spacing w:after="0" w:line="240" w:lineRule="auto"/>
      </w:pPr>
      <w:r>
        <w:separator/>
      </w:r>
    </w:p>
  </w:endnote>
  <w:endnote w:type="continuationSeparator" w:id="0">
    <w:p w14:paraId="70E1D292" w14:textId="77777777" w:rsidR="0079423B" w:rsidRDefault="0079423B" w:rsidP="0053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7D67A" w14:textId="77777777" w:rsidR="00274C63" w:rsidRDefault="00274C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1A954" w14:textId="761E7E71" w:rsidR="00534514" w:rsidRPr="00C94726" w:rsidRDefault="00E55EF7">
    <w:pPr>
      <w:pStyle w:val="AltBilgi"/>
      <w:rPr>
        <w:sz w:val="10"/>
        <w:szCs w:val="10"/>
      </w:rPr>
    </w:pPr>
    <w:r w:rsidRPr="00C94726">
      <w:rPr>
        <w:sz w:val="10"/>
        <w:szCs w:val="10"/>
      </w:rPr>
      <w:t xml:space="preserve">İşbu Temiz Masa-Ekran Politikası değişen şartlara ve mevzuata uyum sağlamak amacıyla zaman zaman Nesil Grup Teknoloji Tic. A.Ş. </w:t>
    </w:r>
    <w:hyperlink r:id="rId1" w:history="1">
      <w:r w:rsidRPr="00C94726">
        <w:rPr>
          <w:rStyle w:val="Kpr"/>
          <w:sz w:val="10"/>
          <w:szCs w:val="10"/>
        </w:rPr>
        <w:t>https://www.nesilteknoloji.com</w:t>
      </w:r>
    </w:hyperlink>
    <w:r w:rsidRPr="00C94726">
      <w:rPr>
        <w:sz w:val="10"/>
        <w:szCs w:val="10"/>
      </w:rPr>
      <w:t xml:space="preserve"> tarafından güncellenecektir.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D6C9D" w14:textId="77777777" w:rsidR="00274C63" w:rsidRDefault="00274C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0713E" w14:textId="77777777" w:rsidR="0079423B" w:rsidRDefault="0079423B" w:rsidP="00534514">
      <w:pPr>
        <w:spacing w:after="0" w:line="240" w:lineRule="auto"/>
      </w:pPr>
      <w:r>
        <w:separator/>
      </w:r>
    </w:p>
  </w:footnote>
  <w:footnote w:type="continuationSeparator" w:id="0">
    <w:p w14:paraId="3CA7D451" w14:textId="77777777" w:rsidR="0079423B" w:rsidRDefault="0079423B" w:rsidP="00534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89AA2" w14:textId="77777777" w:rsidR="00274C63" w:rsidRDefault="00274C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F2BAB" w14:textId="407BDC9B" w:rsidR="00A528B8" w:rsidRPr="007F7375" w:rsidRDefault="002B13E4" w:rsidP="009C39F1">
    <w:pPr>
      <w:pStyle w:val="stBilgi"/>
      <w:rPr>
        <w:rFonts w:ascii="Segoe UI" w:hAnsi="Segoe UI" w:cs="Segoe UI"/>
        <w:sz w:val="24"/>
        <w:szCs w:val="24"/>
      </w:rPr>
    </w:pPr>
    <w:sdt>
      <w:sdtPr>
        <w:rPr>
          <w:rFonts w:ascii="Segoe UI" w:hAnsi="Segoe UI" w:cs="Segoe UI"/>
          <w:sz w:val="24"/>
          <w:szCs w:val="24"/>
        </w:rPr>
        <w:id w:val="1468169699"/>
        <w:docPartObj>
          <w:docPartGallery w:val="Watermarks"/>
          <w:docPartUnique/>
        </w:docPartObj>
      </w:sdtPr>
      <w:sdtEndPr/>
      <w:sdtContent>
        <w:r>
          <w:rPr>
            <w:rFonts w:ascii="Segoe UI" w:hAnsi="Segoe UI" w:cs="Segoe UI"/>
            <w:sz w:val="24"/>
            <w:szCs w:val="24"/>
          </w:rPr>
          <w:pict w14:anchorId="4DF5E01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84399861" o:spid="_x0000_s1026" type="#_x0000_t136" style="position:absolute;margin-left:0;margin-top:0;width:573.3pt;height:66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.C. ERZİNCAN BELEDİYESİ KVKK"/>
              <w10:wrap anchorx="margin" anchory="margin"/>
            </v:shape>
          </w:pict>
        </w:r>
      </w:sdtContent>
    </w:sdt>
    <w:r w:rsidR="00060843">
      <w:rPr>
        <w:rFonts w:ascii="Segoe UI" w:hAnsi="Segoe UI" w:cs="Segoe UI"/>
        <w:sz w:val="24"/>
        <w:szCs w:val="24"/>
      </w:rPr>
      <w:tab/>
    </w:r>
    <w:r w:rsidR="009C39F1">
      <w:rPr>
        <w:rFonts w:ascii="Segoe UI" w:hAnsi="Segoe UI" w:cs="Segoe UI"/>
        <w:sz w:val="24"/>
        <w:szCs w:val="24"/>
      </w:rPr>
      <w:tab/>
    </w:r>
    <w:r w:rsidR="00274C63" w:rsidRPr="00274C63">
      <w:rPr>
        <w:rFonts w:ascii="Segoe UI" w:hAnsi="Segoe UI" w:cs="Segoe UI"/>
        <w:noProof/>
        <w:sz w:val="24"/>
        <w:szCs w:val="24"/>
      </w:rPr>
      <w:drawing>
        <wp:inline distT="0" distB="0" distL="0" distR="0" wp14:anchorId="79D1115F" wp14:editId="07A6758C">
          <wp:extent cx="787791" cy="787791"/>
          <wp:effectExtent l="0" t="0" r="0" b="0"/>
          <wp:docPr id="607480788" name="Resim 1" descr="simge, sembol, çizgi film, amblem, logo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480788" name="Resim 1" descr="simge, sembol, çizgi film, amblem, logo içeren bir resim&#10;&#10;Yapay zeka tarafından oluşturulmuş içerik yanlış olabilir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324" cy="828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4C63" w:rsidRPr="00274C63">
      <w:rPr>
        <w:rFonts w:ascii="Segoe UI" w:hAnsi="Segoe UI" w:cs="Segoe UI"/>
        <w:noProof/>
        <w:sz w:val="24"/>
        <w:szCs w:val="24"/>
        <w:highlight w:val="yellow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8AED0" w14:textId="77777777" w:rsidR="00274C63" w:rsidRDefault="00274C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67609"/>
    <w:multiLevelType w:val="multilevel"/>
    <w:tmpl w:val="ECD0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834E2"/>
    <w:multiLevelType w:val="multilevel"/>
    <w:tmpl w:val="ECC6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280A52"/>
    <w:multiLevelType w:val="multilevel"/>
    <w:tmpl w:val="175E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A6657B"/>
    <w:multiLevelType w:val="multilevel"/>
    <w:tmpl w:val="B666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4B532F"/>
    <w:multiLevelType w:val="multilevel"/>
    <w:tmpl w:val="0B8C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8446126">
    <w:abstractNumId w:val="2"/>
  </w:num>
  <w:num w:numId="2" w16cid:durableId="1907253056">
    <w:abstractNumId w:val="0"/>
  </w:num>
  <w:num w:numId="3" w16cid:durableId="719280033">
    <w:abstractNumId w:val="3"/>
  </w:num>
  <w:num w:numId="4" w16cid:durableId="1088231672">
    <w:abstractNumId w:val="4"/>
  </w:num>
  <w:num w:numId="5" w16cid:durableId="1475828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ED"/>
    <w:rsid w:val="00060843"/>
    <w:rsid w:val="00061475"/>
    <w:rsid w:val="000878EB"/>
    <w:rsid w:val="0014759F"/>
    <w:rsid w:val="00172DD0"/>
    <w:rsid w:val="001D1279"/>
    <w:rsid w:val="00215A86"/>
    <w:rsid w:val="00270DED"/>
    <w:rsid w:val="00272162"/>
    <w:rsid w:val="00274C63"/>
    <w:rsid w:val="00277323"/>
    <w:rsid w:val="002B13E4"/>
    <w:rsid w:val="002C52B4"/>
    <w:rsid w:val="002E6BE2"/>
    <w:rsid w:val="00300DD9"/>
    <w:rsid w:val="003D299F"/>
    <w:rsid w:val="00404191"/>
    <w:rsid w:val="00437E02"/>
    <w:rsid w:val="00476CB1"/>
    <w:rsid w:val="00534514"/>
    <w:rsid w:val="00572A72"/>
    <w:rsid w:val="0057344A"/>
    <w:rsid w:val="005F5966"/>
    <w:rsid w:val="006079A4"/>
    <w:rsid w:val="00614022"/>
    <w:rsid w:val="006230A0"/>
    <w:rsid w:val="00645A63"/>
    <w:rsid w:val="006F41A8"/>
    <w:rsid w:val="007043DA"/>
    <w:rsid w:val="00706013"/>
    <w:rsid w:val="0079423B"/>
    <w:rsid w:val="007F123B"/>
    <w:rsid w:val="007F7375"/>
    <w:rsid w:val="0082678E"/>
    <w:rsid w:val="00831B55"/>
    <w:rsid w:val="008349B7"/>
    <w:rsid w:val="00893A30"/>
    <w:rsid w:val="008C5E67"/>
    <w:rsid w:val="008D5A2C"/>
    <w:rsid w:val="008E0AC9"/>
    <w:rsid w:val="008F521E"/>
    <w:rsid w:val="0097257C"/>
    <w:rsid w:val="00975C38"/>
    <w:rsid w:val="009A05BF"/>
    <w:rsid w:val="009C39F1"/>
    <w:rsid w:val="009D467D"/>
    <w:rsid w:val="00A0407A"/>
    <w:rsid w:val="00A22EA0"/>
    <w:rsid w:val="00A528B8"/>
    <w:rsid w:val="00AF6A69"/>
    <w:rsid w:val="00B35EB4"/>
    <w:rsid w:val="00B42A20"/>
    <w:rsid w:val="00B52EBA"/>
    <w:rsid w:val="00BA25CA"/>
    <w:rsid w:val="00BD24EB"/>
    <w:rsid w:val="00C3123F"/>
    <w:rsid w:val="00C54F13"/>
    <w:rsid w:val="00C5622F"/>
    <w:rsid w:val="00C810E4"/>
    <w:rsid w:val="00C94726"/>
    <w:rsid w:val="00CB3C7A"/>
    <w:rsid w:val="00D11BA3"/>
    <w:rsid w:val="00D27A09"/>
    <w:rsid w:val="00D82C05"/>
    <w:rsid w:val="00D91B6E"/>
    <w:rsid w:val="00E55EF7"/>
    <w:rsid w:val="00E57358"/>
    <w:rsid w:val="00E8139A"/>
    <w:rsid w:val="00FA610C"/>
    <w:rsid w:val="00FB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37BD7D"/>
  <w15:chartTrackingRefBased/>
  <w15:docId w15:val="{44B79A95-1BD2-4B7F-B8FB-FADEB247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514"/>
  </w:style>
  <w:style w:type="paragraph" w:styleId="AltBilgi">
    <w:name w:val="footer"/>
    <w:basedOn w:val="Normal"/>
    <w:link w:val="AltBilgiChar"/>
    <w:uiPriority w:val="99"/>
    <w:unhideWhenUsed/>
    <w:rsid w:val="00534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514"/>
  </w:style>
  <w:style w:type="character" w:styleId="Kpr">
    <w:name w:val="Hyperlink"/>
    <w:basedOn w:val="VarsaylanParagrafYazTipi"/>
    <w:uiPriority w:val="99"/>
    <w:semiHidden/>
    <w:unhideWhenUsed/>
    <w:rsid w:val="00E55E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esilteknoloji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3477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Ülkü Bayram</dc:creator>
  <cp:keywords/>
  <dc:description/>
  <cp:lastModifiedBy>betül eren</cp:lastModifiedBy>
  <cp:revision>5</cp:revision>
  <dcterms:created xsi:type="dcterms:W3CDTF">2025-09-09T12:37:00Z</dcterms:created>
  <dcterms:modified xsi:type="dcterms:W3CDTF">2025-09-15T13:57:00Z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dd5b7039-1fc9-4cdb-98f6-0ae08344374d</vt:lpwstr>
  </property>
</Properties>
</file>